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0"/>
        </w:tabs>
        <w:jc w:val="left"/>
        <w:rPr>
          <w:rFonts w:hint="default" w:ascii="黑体" w:hAnsi="黑体" w:eastAsia="黑体" w:cs="黑体"/>
          <w:bCs/>
          <w:sz w:val="32"/>
          <w:szCs w:val="32"/>
          <w:lang w:val="en-US" w:eastAsia="zh-CN"/>
        </w:rPr>
      </w:pPr>
      <w:r>
        <w:rPr>
          <w:rFonts w:hint="eastAsia" w:ascii="黑体" w:hAnsi="黑体" w:eastAsia="黑体" w:cs="黑体"/>
          <w:bCs/>
          <w:sz w:val="32"/>
          <w:szCs w:val="32"/>
        </w:rPr>
        <w:t>表</w:t>
      </w:r>
      <w:r>
        <w:rPr>
          <w:rFonts w:hint="eastAsia" w:ascii="黑体" w:hAnsi="黑体" w:eastAsia="黑体" w:cs="黑体"/>
          <w:bCs/>
          <w:sz w:val="32"/>
          <w:szCs w:val="32"/>
          <w:lang w:val="en-US" w:eastAsia="zh-CN"/>
        </w:rPr>
        <w:t>11</w:t>
      </w:r>
      <w:bookmarkStart w:id="0" w:name="_GoBack"/>
      <w:bookmarkEnd w:id="0"/>
    </w:p>
    <w:tbl>
      <w:tblPr>
        <w:tblStyle w:val="3"/>
        <w:tblW w:w="10556" w:type="dxa"/>
        <w:tblInd w:w="-941" w:type="dxa"/>
        <w:tblLayout w:type="fixed"/>
        <w:tblCellMar>
          <w:top w:w="0" w:type="dxa"/>
          <w:left w:w="108" w:type="dxa"/>
          <w:bottom w:w="0" w:type="dxa"/>
          <w:right w:w="108" w:type="dxa"/>
        </w:tblCellMar>
      </w:tblPr>
      <w:tblGrid>
        <w:gridCol w:w="777"/>
        <w:gridCol w:w="840"/>
        <w:gridCol w:w="1650"/>
        <w:gridCol w:w="858"/>
        <w:gridCol w:w="2805"/>
        <w:gridCol w:w="1335"/>
        <w:gridCol w:w="1557"/>
        <w:gridCol w:w="734"/>
      </w:tblGrid>
      <w:tr>
        <w:tblPrEx>
          <w:tblLayout w:type="fixed"/>
          <w:tblCellMar>
            <w:top w:w="0" w:type="dxa"/>
            <w:left w:w="108" w:type="dxa"/>
            <w:bottom w:w="0" w:type="dxa"/>
            <w:right w:w="108" w:type="dxa"/>
          </w:tblCellMar>
        </w:tblPrEx>
        <w:trPr>
          <w:trHeight w:val="615" w:hRule="atLeast"/>
        </w:trPr>
        <w:tc>
          <w:tcPr>
            <w:tcW w:w="10556" w:type="dxa"/>
            <w:gridSpan w:val="8"/>
            <w:tcBorders>
              <w:top w:val="nil"/>
              <w:left w:val="nil"/>
              <w:bottom w:val="nil"/>
              <w:right w:val="nil"/>
            </w:tcBorders>
            <w:noWrap/>
            <w:vAlign w:val="center"/>
          </w:tcPr>
          <w:p>
            <w:pPr>
              <w:jc w:val="center"/>
              <w:rPr>
                <w:rFonts w:ascii="宋体" w:hAnsi="宋体" w:cs="宋体"/>
                <w:kern w:val="0"/>
                <w:sz w:val="32"/>
                <w:szCs w:val="32"/>
                <w:u w:val="single"/>
              </w:rPr>
            </w:pPr>
            <w:r>
              <w:rPr>
                <w:rFonts w:hint="eastAsia" w:ascii="宋体" w:hAnsi="宋体"/>
                <w:b/>
                <w:bCs/>
                <w:kern w:val="0"/>
                <w:sz w:val="44"/>
                <w:szCs w:val="44"/>
              </w:rPr>
              <w:t>预拌混凝土生产站点绿色生产记分检查表</w:t>
            </w:r>
          </w:p>
        </w:tc>
      </w:tr>
      <w:tr>
        <w:tblPrEx>
          <w:tblLayout w:type="fixed"/>
          <w:tblCellMar>
            <w:top w:w="0" w:type="dxa"/>
            <w:left w:w="108" w:type="dxa"/>
            <w:bottom w:w="0" w:type="dxa"/>
            <w:right w:w="108" w:type="dxa"/>
          </w:tblCellMar>
        </w:tblPrEx>
        <w:trPr>
          <w:trHeight w:val="167" w:hRule="atLeast"/>
        </w:trPr>
        <w:tc>
          <w:tcPr>
            <w:tcW w:w="10556" w:type="dxa"/>
            <w:gridSpan w:val="8"/>
            <w:tcBorders>
              <w:top w:val="nil"/>
              <w:left w:val="nil"/>
              <w:bottom w:val="single" w:color="auto" w:sz="4" w:space="0"/>
              <w:right w:val="nil"/>
            </w:tcBorders>
            <w:noWrap/>
            <w:vAlign w:val="center"/>
          </w:tcPr>
          <w:p>
            <w:pPr>
              <w:widowControl/>
              <w:jc w:val="center"/>
              <w:rPr>
                <w:rFonts w:ascii="宋体" w:cs="宋体"/>
                <w:kern w:val="0"/>
                <w:sz w:val="20"/>
                <w:szCs w:val="20"/>
              </w:rPr>
            </w:pPr>
          </w:p>
        </w:tc>
      </w:tr>
      <w:tr>
        <w:tblPrEx>
          <w:tblLayout w:type="fixed"/>
          <w:tblCellMar>
            <w:top w:w="0" w:type="dxa"/>
            <w:left w:w="108" w:type="dxa"/>
            <w:bottom w:w="0" w:type="dxa"/>
            <w:right w:w="108" w:type="dxa"/>
          </w:tblCellMar>
        </w:tblPrEx>
        <w:trPr>
          <w:trHeight w:val="541" w:hRule="exac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小标宋简体" w:hAnsi="宋体" w:eastAsia="方正小标宋简体" w:cs="宋体"/>
                <w:kern w:val="0"/>
                <w:sz w:val="24"/>
              </w:rPr>
            </w:pPr>
            <w:r>
              <w:rPr>
                <w:rFonts w:hint="eastAsia" w:ascii="宋体" w:hAnsi="宋体" w:cs="宋体"/>
                <w:kern w:val="0"/>
                <w:sz w:val="24"/>
              </w:rPr>
              <w:t>站点名称</w:t>
            </w:r>
          </w:p>
        </w:tc>
        <w:tc>
          <w:tcPr>
            <w:tcW w:w="531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小标宋简体" w:hAnsi="宋体" w:eastAsia="方正小标宋简体" w:cs="宋体"/>
                <w:kern w:val="0"/>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负责人</w:t>
            </w: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小标宋简体" w:hAnsi="宋体" w:eastAsia="方正小标宋简体" w:cs="宋体"/>
                <w:kern w:val="0"/>
                <w:sz w:val="24"/>
              </w:rPr>
            </w:pPr>
          </w:p>
        </w:tc>
      </w:tr>
      <w:tr>
        <w:tblPrEx>
          <w:tblLayout w:type="fixed"/>
          <w:tblCellMar>
            <w:top w:w="0" w:type="dxa"/>
            <w:left w:w="108" w:type="dxa"/>
            <w:bottom w:w="0" w:type="dxa"/>
            <w:right w:w="108" w:type="dxa"/>
          </w:tblCellMar>
        </w:tblPrEx>
        <w:trPr>
          <w:trHeight w:val="567" w:hRule="exac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小标宋简体" w:hAnsi="宋体" w:eastAsia="方正小标宋简体" w:cs="宋体"/>
                <w:kern w:val="0"/>
                <w:sz w:val="24"/>
              </w:rPr>
            </w:pPr>
            <w:r>
              <w:rPr>
                <w:rFonts w:hint="eastAsia" w:ascii="宋体" w:hAnsi="宋体" w:cs="宋体"/>
                <w:kern w:val="0"/>
                <w:sz w:val="24"/>
              </w:rPr>
              <w:t>生产地址</w:t>
            </w:r>
          </w:p>
        </w:tc>
        <w:tc>
          <w:tcPr>
            <w:tcW w:w="531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小标宋简体" w:hAnsi="宋体" w:eastAsia="方正小标宋简体" w:cs="宋体"/>
                <w:kern w:val="0"/>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联系电话</w:t>
            </w: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小标宋简体" w:hAnsi="宋体" w:eastAsia="方正小标宋简体" w:cs="宋体"/>
                <w:kern w:val="0"/>
                <w:sz w:val="24"/>
              </w:rPr>
            </w:pPr>
          </w:p>
        </w:tc>
      </w:tr>
      <w:tr>
        <w:tblPrEx>
          <w:tblLayout w:type="fixed"/>
          <w:tblCellMar>
            <w:top w:w="0" w:type="dxa"/>
            <w:left w:w="108" w:type="dxa"/>
            <w:bottom w:w="0" w:type="dxa"/>
            <w:right w:w="108" w:type="dxa"/>
          </w:tblCellMar>
        </w:tblPrEx>
        <w:trPr>
          <w:trHeight w:val="570" w:hRule="exac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rPr>
            </w:pPr>
            <w:r>
              <w:rPr>
                <w:rFonts w:hint="eastAsia" w:ascii="宋体" w:hAnsi="宋体" w:cs="宋体"/>
                <w:kern w:val="0"/>
                <w:sz w:val="24"/>
              </w:rPr>
              <w:t>序号</w:t>
            </w:r>
          </w:p>
        </w:tc>
        <w:tc>
          <w:tcPr>
            <w:tcW w:w="249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rPr>
            </w:pPr>
            <w:r>
              <w:rPr>
                <w:rFonts w:hint="eastAsia" w:ascii="宋体" w:hAnsi="宋体" w:cs="宋体"/>
                <w:kern w:val="0"/>
                <w:sz w:val="24"/>
              </w:rPr>
              <w:t>检查项目</w:t>
            </w:r>
          </w:p>
        </w:tc>
        <w:tc>
          <w:tcPr>
            <w:tcW w:w="8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rPr>
            </w:pPr>
            <w:r>
              <w:rPr>
                <w:rFonts w:hint="eastAsia" w:ascii="宋体" w:hAnsi="宋体" w:cs="宋体"/>
                <w:kern w:val="0"/>
                <w:sz w:val="24"/>
              </w:rPr>
              <w:t>分值</w:t>
            </w:r>
          </w:p>
        </w:tc>
        <w:tc>
          <w:tcPr>
            <w:tcW w:w="569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rPr>
            </w:pPr>
            <w:r>
              <w:rPr>
                <w:rFonts w:hint="eastAsia" w:ascii="宋体" w:hAnsi="宋体" w:cs="宋体"/>
                <w:kern w:val="0"/>
                <w:sz w:val="24"/>
              </w:rPr>
              <w:t>评分方法</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得分</w:t>
            </w: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b/>
                <w:color w:val="000000"/>
                <w:kern w:val="0"/>
                <w:sz w:val="24"/>
              </w:rPr>
              <w:t>※搅拌楼全封闭</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搅拌楼全封闭得8分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b/>
                <w:color w:val="000000"/>
                <w:kern w:val="0"/>
                <w:sz w:val="24"/>
              </w:rPr>
            </w:pPr>
            <w:r>
              <w:rPr>
                <w:rFonts w:hint="eastAsia" w:ascii="仿宋" w:hAnsi="仿宋" w:eastAsia="仿宋" w:cs="仿宋"/>
                <w:b/>
                <w:color w:val="000000"/>
                <w:kern w:val="0"/>
                <w:sz w:val="24"/>
              </w:rPr>
              <w:t>※骨料堆场</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骨料堆场全部封闭且棚外无砂石堆料、场地硬化、安装喷淋降尘设施并正常使用得8分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b/>
                <w:color w:val="000000"/>
                <w:kern w:val="0"/>
                <w:sz w:val="24"/>
              </w:rPr>
            </w:pPr>
            <w:r>
              <w:rPr>
                <w:rFonts w:hint="eastAsia" w:ascii="仿宋" w:hAnsi="仿宋" w:eastAsia="仿宋" w:cs="仿宋"/>
                <w:b/>
                <w:color w:val="000000"/>
                <w:kern w:val="0"/>
                <w:sz w:val="24"/>
              </w:rPr>
              <w:t>※配料地仓、皮带输送机全封闭</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地仓封闭得3分，皮带传输机全封闭得3分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※出口处设置运输车辆冲洗保洁设施</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出场车辆做到及时冲洗，并无车辆带泥上路，场内停放车辆干净得4分，安装立体式高效洗轮机得4分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b/>
                <w:color w:val="000000"/>
                <w:kern w:val="0"/>
                <w:sz w:val="24"/>
              </w:rPr>
            </w:pPr>
            <w:r>
              <w:rPr>
                <w:rFonts w:hint="eastAsia" w:ascii="仿宋" w:hAnsi="仿宋" w:eastAsia="仿宋" w:cs="仿宋"/>
                <w:b/>
                <w:color w:val="000000"/>
                <w:kern w:val="0"/>
                <w:sz w:val="24"/>
              </w:rPr>
              <w:t>※生产废水、废浆处置系统</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设置三级沉淀池得3分；排水沟系统覆盖连通装车层、骨料堆场、砂石分离机和沉淀池得3分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※废弃新拌混凝土处置设备设施</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砂石分离机等设备运转正常，得5分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b/>
                <w:color w:val="000000"/>
                <w:kern w:val="0"/>
                <w:sz w:val="24"/>
              </w:rPr>
            </w:pPr>
            <w:r>
              <w:rPr>
                <w:rFonts w:hint="eastAsia" w:ascii="仿宋" w:hAnsi="仿宋" w:eastAsia="仿宋" w:cs="仿宋"/>
                <w:b/>
                <w:color w:val="000000"/>
                <w:kern w:val="0"/>
                <w:sz w:val="24"/>
              </w:rPr>
              <w:t>※道路硬化及质量</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道路硬化率达到100%且无破损得5分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b/>
                <w:color w:val="000000"/>
                <w:kern w:val="0"/>
                <w:sz w:val="24"/>
              </w:rPr>
            </w:pPr>
            <w:r>
              <w:rPr>
                <w:rFonts w:hint="eastAsia" w:ascii="仿宋" w:hAnsi="仿宋" w:eastAsia="仿宋" w:cs="仿宋"/>
                <w:color w:val="000000"/>
                <w:kern w:val="0"/>
                <w:sz w:val="24"/>
              </w:rPr>
              <w:t>制度建设</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有完善的绿色生产管理制度得2分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9</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功能分区</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厂区内的生产区、办公区和生活区采用分区布置得2分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10</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厂区绿化</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厂区整体绿化面积达10%以上，厂区内未硬化空地的绿化率达到80%得2分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11</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固体废弃物存放</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生产区内设置生产废弃物存放处，并适合机械清运作业得2分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12</w:t>
            </w:r>
          </w:p>
        </w:tc>
        <w:tc>
          <w:tcPr>
            <w:tcW w:w="24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整体清洁卫生</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厂区门前道路按三包要求管理得1分，厂区内卫生清洁得1分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13</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b/>
                <w:kern w:val="0"/>
                <w:sz w:val="24"/>
              </w:rPr>
            </w:pPr>
            <w:r>
              <w:rPr>
                <w:rFonts w:hint="eastAsia" w:ascii="仿宋" w:hAnsi="仿宋" w:eastAsia="仿宋" w:cs="仿宋"/>
                <w:b/>
                <w:color w:val="000000"/>
                <w:kern w:val="0"/>
                <w:sz w:val="24"/>
              </w:rPr>
              <w:t>※除尘装置</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粉料筒仓顶部、粉料贮料斗、搅拌机进料口或骨料贮料斗的进料口均安装除尘装置且运转正常得6分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14</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搅拌楼清洗设备</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搅拌层和称量层有冲洗装置得2分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15</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防喷溅设施</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搅拌主机卸料口设下料软管等防喷溅设施得2分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16</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厂界隔声装置</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厂界与居民区小于50m时在厂界安装隔声装置得2分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车辆防漏洒</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车辆安装防漏洒装置并正常使用得2分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18</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b/>
                <w:kern w:val="0"/>
                <w:sz w:val="24"/>
              </w:rPr>
            </w:pPr>
            <w:r>
              <w:rPr>
                <w:rFonts w:hint="eastAsia" w:ascii="仿宋" w:hAnsi="仿宋" w:eastAsia="仿宋" w:cs="仿宋"/>
                <w:b/>
                <w:color w:val="000000"/>
                <w:kern w:val="0"/>
                <w:sz w:val="24"/>
              </w:rPr>
              <w:t>※废弃物排放</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不向厂区外直接排放生产废水、废浆、废弃混凝土得5分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19</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环境噪声控制</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第三方监测环境噪声满足JGJ/T328-2014标准5.4要求，得2分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20</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生产性粉尘控制</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第三方监测环境粉尘满足JGJ/T328-2014标准5.5要求，得2分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21</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生产废水和废浆的监测</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生产废水、废浆用于生产时，应有相应的检测记录得2分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22</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废水再利用</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处理后的生产废水用于生产或用于降尘及设备冲洗得2分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23</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废浆处置和利用</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废浆无害化处理或处理后用于生产，得2分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24</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废弃混凝土利用</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textAlignment w:val="center"/>
              <w:rPr>
                <w:rFonts w:ascii="仿宋" w:hAnsi="仿宋" w:eastAsia="仿宋" w:cs="仿宋"/>
                <w:kern w:val="0"/>
                <w:sz w:val="24"/>
              </w:rPr>
            </w:pPr>
            <w:r>
              <w:rPr>
                <w:rFonts w:hint="eastAsia" w:ascii="仿宋" w:hAnsi="仿宋" w:eastAsia="仿宋" w:cs="仿宋"/>
                <w:color w:val="000000"/>
                <w:kern w:val="0"/>
                <w:sz w:val="24"/>
              </w:rPr>
              <w:t>废弃混凝土用于成型小型预制构件或由砂石分离机分离后重新利用且利用率不低于90%，得2分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color w:val="000000"/>
                <w:kern w:val="0"/>
                <w:sz w:val="24"/>
              </w:rPr>
              <w:t>25</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运输管理</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rPr>
              <w:t>运输车辆有GPS定位，得1分；运输车辆达到相关环保标准，得2分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atLeas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26</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安全生产标准化证书</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取得安监部门颁发的安全生产标准化证书得1分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1020" w:hRule="exac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27</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质量、环境、职业健康</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符合《质量管理体系要求》GB/TI9001、《环境管理体系要求及使用指南》GB/T24001和《职业健康安全管理体系要求》GB/T28001的规定，各1分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exac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28</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扬尘污染公示牌及自动在线监测</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cs="仿宋"/>
                <w:kern w:val="0"/>
                <w:sz w:val="24"/>
              </w:rPr>
            </w:pPr>
            <w:r>
              <w:rPr>
                <w:rFonts w:hint="eastAsia" w:ascii="仿宋" w:hAnsi="仿宋" w:eastAsia="仿宋" w:cs="仿宋"/>
                <w:kern w:val="0"/>
                <w:sz w:val="24"/>
              </w:rPr>
              <w:t>悬挂有扬尘污染公示牌得1分，有</w:t>
            </w:r>
            <w:r>
              <w:rPr>
                <w:rFonts w:hint="eastAsia" w:ascii="仿宋" w:hAnsi="仿宋" w:eastAsia="仿宋" w:cs="仿宋"/>
                <w:color w:val="000000"/>
                <w:kern w:val="0"/>
                <w:sz w:val="24"/>
              </w:rPr>
              <w:t>扬尘自动在线监测设施</w:t>
            </w:r>
            <w:r>
              <w:rPr>
                <w:rFonts w:hint="eastAsia" w:ascii="仿宋" w:hAnsi="仿宋" w:eastAsia="仿宋" w:cs="仿宋"/>
                <w:kern w:val="0"/>
                <w:sz w:val="24"/>
              </w:rPr>
              <w:t>并正常使用得1分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exac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29</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生产控制远程监控</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cs="仿宋"/>
                <w:kern w:val="0"/>
                <w:sz w:val="24"/>
              </w:rPr>
            </w:pPr>
            <w:r>
              <w:rPr>
                <w:rFonts w:hint="eastAsia" w:ascii="仿宋" w:hAnsi="仿宋" w:eastAsia="仿宋" w:cs="仿宋"/>
                <w:kern w:val="0"/>
                <w:sz w:val="24"/>
              </w:rPr>
              <w:t>生产控制室没有设置在搅拌楼内，采用远程监控操作的得2分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exact"/>
        </w:trPr>
        <w:tc>
          <w:tcPr>
            <w:tcW w:w="77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30</w:t>
            </w:r>
          </w:p>
        </w:tc>
        <w:tc>
          <w:tcPr>
            <w:tcW w:w="24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绿色生产标识等</w:t>
            </w:r>
          </w:p>
        </w:tc>
        <w:tc>
          <w:tcPr>
            <w:tcW w:w="8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569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cs="仿宋"/>
                <w:kern w:val="0"/>
                <w:sz w:val="24"/>
              </w:rPr>
            </w:pPr>
            <w:r>
              <w:rPr>
                <w:rFonts w:hint="eastAsia" w:ascii="仿宋" w:hAnsi="仿宋" w:eastAsia="仿宋" w:cs="仿宋"/>
                <w:kern w:val="0"/>
                <w:sz w:val="24"/>
              </w:rPr>
              <w:t>有绿色生产标识证书、集中吹灰设备、响应政府应急预案及资源综合利用各得0.5分共2分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80" w:hRule="exact"/>
        </w:trPr>
        <w:tc>
          <w:tcPr>
            <w:tcW w:w="326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合计分值</w:t>
            </w:r>
          </w:p>
        </w:tc>
        <w:tc>
          <w:tcPr>
            <w:tcW w:w="8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100</w:t>
            </w:r>
          </w:p>
        </w:tc>
        <w:tc>
          <w:tcPr>
            <w:tcW w:w="569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得分</w:t>
            </w:r>
          </w:p>
        </w:tc>
        <w:tc>
          <w:tcPr>
            <w:tcW w:w="7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p>
        </w:tc>
      </w:tr>
    </w:tbl>
    <w:p>
      <w:pPr>
        <w:rPr>
          <w:rFonts w:eastAsia="仿宋"/>
          <w:b/>
          <w:bCs/>
        </w:rPr>
      </w:pPr>
      <w:r>
        <w:rPr>
          <w:rFonts w:hint="eastAsia"/>
          <w:b/>
          <w:bCs/>
        </w:rPr>
        <w:t>说明：带</w:t>
      </w:r>
      <w:r>
        <w:rPr>
          <w:rFonts w:hint="eastAsia" w:ascii="仿宋" w:hAnsi="仿宋" w:eastAsia="仿宋" w:cs="仿宋"/>
          <w:b/>
          <w:color w:val="000000"/>
          <w:kern w:val="0"/>
          <w:sz w:val="24"/>
        </w:rPr>
        <w:t>“※”表示若该项目未达到要求，则应限期内进行整改。</w:t>
      </w:r>
    </w:p>
    <w:p>
      <w:pPr>
        <w:rPr>
          <w:rFonts w:ascii="黑体" w:hAnsi="黑体" w:eastAsia="黑体"/>
          <w:bCs/>
        </w:rPr>
      </w:pPr>
    </w:p>
    <w:p>
      <w:pPr>
        <w:rPr>
          <w:rFonts w:ascii="黑体" w:hAnsi="黑体" w:eastAsia="黑体"/>
          <w:bCs/>
        </w:rPr>
      </w:pPr>
      <w:r>
        <w:rPr>
          <w:rFonts w:hint="eastAsia" w:ascii="黑体" w:hAnsi="黑体" w:eastAsia="黑体"/>
          <w:bCs/>
        </w:rPr>
        <w:t>检查负责人签字：                         站点负责人签字（盖章）：</w:t>
      </w:r>
    </w:p>
    <w:p>
      <w:pPr>
        <w:rPr>
          <w:rFonts w:ascii="黑体" w:hAnsi="黑体" w:eastAsia="黑体"/>
        </w:rPr>
      </w:pPr>
    </w:p>
    <w:p>
      <w:pPr>
        <w:rPr>
          <w:rFonts w:ascii="黑体" w:hAnsi="黑体" w:eastAsia="黑体"/>
        </w:rPr>
      </w:pPr>
    </w:p>
    <w:p>
      <w:pPr>
        <w:tabs>
          <w:tab w:val="left" w:pos="1280"/>
        </w:tabs>
        <w:ind w:firstLine="4830" w:firstLineChars="2300"/>
        <w:jc w:val="left"/>
        <w:rPr>
          <w:rFonts w:ascii="黑体" w:hAnsi="黑体" w:eastAsia="黑体"/>
        </w:rPr>
      </w:pPr>
      <w:r>
        <w:rPr>
          <w:rFonts w:hint="eastAsia" w:ascii="黑体" w:hAnsi="黑体" w:eastAsia="黑体"/>
        </w:rPr>
        <w:t xml:space="preserve">检查时间：        年     月    </w:t>
      </w:r>
    </w:p>
    <w:p>
      <w:pPr>
        <w:tabs>
          <w:tab w:val="left" w:pos="1280"/>
        </w:tabs>
        <w:jc w:val="left"/>
        <w:rPr>
          <w:rFonts w:ascii="黑体" w:hAns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35E6E"/>
    <w:rsid w:val="298A7608"/>
    <w:rsid w:val="6343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2019-07-23T03:32:00Z</dcterms:created>
  <dc:creator>残叶1419824337</dc:creator>
  <cp:lastModifiedBy>残叶1419824337</cp:lastModifiedBy>
  <dcterms:modified xsi:type="dcterms:W3CDTF">2019-07-23T03:40:20Z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